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712D" w14:textId="2FD85DDB" w:rsidR="006325C1" w:rsidRPr="006325C1" w:rsidRDefault="006325C1" w:rsidP="006325C1">
      <w:pPr>
        <w:rPr>
          <w:rFonts w:asciiTheme="minorHAnsi" w:eastAsiaTheme="minorEastAsia" w:hAnsiTheme="minorHAnsi" w:cs="Arial"/>
          <w:sz w:val="22"/>
          <w:szCs w:val="22"/>
          <w:shd w:val="clear" w:color="auto" w:fill="FFFFFF"/>
          <w:lang w:val="en-US"/>
        </w:rPr>
      </w:pPr>
      <w:r w:rsidRPr="006325C1">
        <w:rPr>
          <w:rFonts w:asciiTheme="minorHAnsi" w:eastAsiaTheme="minorEastAsia" w:hAnsiTheme="minorHAnsi" w:cs="Arial"/>
          <w:sz w:val="22"/>
          <w:szCs w:val="22"/>
          <w:shd w:val="clear" w:color="auto" w:fill="FFFFFF"/>
          <w:lang w:val="en-US"/>
        </w:rPr>
        <w:t>NSW Dept Climate Change, Energy, the Environment and Water</w:t>
      </w:r>
    </w:p>
    <w:p w14:paraId="29BCC901" w14:textId="77777777" w:rsidR="006325C1" w:rsidRDefault="006325C1" w:rsidP="006325C1">
      <w:pPr>
        <w:rPr>
          <w:rFonts w:asciiTheme="minorHAnsi" w:eastAsiaTheme="minorEastAsia" w:hAnsiTheme="minorHAnsi" w:cs="Arial"/>
          <w:sz w:val="22"/>
          <w:szCs w:val="22"/>
          <w:shd w:val="clear" w:color="auto" w:fill="FFFFFF"/>
          <w:lang w:val="en-US"/>
        </w:rPr>
      </w:pPr>
      <w:r w:rsidRPr="006325C1">
        <w:rPr>
          <w:rFonts w:asciiTheme="minorHAnsi" w:eastAsiaTheme="minorEastAsia" w:hAnsiTheme="minorHAnsi" w:cs="Arial"/>
          <w:sz w:val="22"/>
          <w:szCs w:val="22"/>
          <w:shd w:val="clear" w:color="auto" w:fill="FFFFFF"/>
          <w:lang w:val="en-US"/>
        </w:rPr>
        <w:t xml:space="preserve">Sydney NSW 2000 </w:t>
      </w:r>
    </w:p>
    <w:p w14:paraId="63D0F011" w14:textId="61969A95" w:rsidR="006325C1" w:rsidRPr="006325C1" w:rsidRDefault="006325C1" w:rsidP="006325C1">
      <w:pPr>
        <w:rPr>
          <w:rFonts w:asciiTheme="minorHAnsi" w:eastAsiaTheme="minorEastAsia" w:hAnsiTheme="minorHAnsi" w:cs="Arial"/>
          <w:sz w:val="22"/>
          <w:szCs w:val="22"/>
          <w:shd w:val="clear" w:color="auto" w:fill="FFFFFF"/>
          <w:lang w:val="en-US"/>
        </w:rPr>
      </w:pPr>
      <w:r>
        <w:rPr>
          <w:rFonts w:asciiTheme="minorHAnsi" w:eastAsiaTheme="minorEastAsia" w:hAnsiTheme="minorHAnsi" w:cs="Arial"/>
          <w:sz w:val="22"/>
          <w:szCs w:val="22"/>
          <w:shd w:val="clear" w:color="auto" w:fill="FFFFFF"/>
        </w:rPr>
        <w:t>Thursday, 5 December 2024</w:t>
      </w:r>
    </w:p>
    <w:p w14:paraId="16F7B676" w14:textId="509644C0" w:rsidR="006325C1" w:rsidRPr="006325C1" w:rsidRDefault="006325C1" w:rsidP="006325C1">
      <w:pPr>
        <w:jc w:val="right"/>
        <w:rPr>
          <w:rFonts w:asciiTheme="minorHAnsi" w:eastAsiaTheme="minorEastAsia" w:hAnsiTheme="minorHAnsi" w:cs="Arial"/>
          <w:sz w:val="22"/>
          <w:szCs w:val="22"/>
          <w:shd w:val="clear" w:color="auto" w:fill="FFFFFF"/>
          <w:lang w:val="en-US"/>
        </w:rPr>
      </w:pPr>
      <w:r>
        <w:rPr>
          <w:rFonts w:asciiTheme="minorHAnsi" w:eastAsiaTheme="minorEastAsia" w:hAnsiTheme="minorHAnsi" w:cs="Arial"/>
          <w:sz w:val="22"/>
          <w:szCs w:val="22"/>
          <w:shd w:val="clear" w:color="auto" w:fill="FFFFFF"/>
          <w:lang w:val="en-US"/>
        </w:rPr>
        <w:t xml:space="preserve">Sent electronically </w:t>
      </w:r>
      <w:hyperlink r:id="rId7" w:history="1">
        <w:r w:rsidRPr="006325C1">
          <w:rPr>
            <w:rStyle w:val="Hyperlink"/>
            <w:rFonts w:asciiTheme="minorHAnsi" w:eastAsiaTheme="minorEastAsia" w:hAnsiTheme="minorHAnsi" w:cs="Arial"/>
            <w:color w:val="auto"/>
            <w:sz w:val="22"/>
            <w:szCs w:val="22"/>
            <w:shd w:val="clear" w:color="auto" w:fill="FFFFFF"/>
            <w:lang w:val="en-US"/>
          </w:rPr>
          <w:t>wspconsultation@dpie.nsw.gov.au</w:t>
        </w:r>
      </w:hyperlink>
    </w:p>
    <w:p w14:paraId="032ADD4A" w14:textId="7730674C" w:rsidR="002D5CA9" w:rsidRPr="006325C1" w:rsidRDefault="006325C1" w:rsidP="006325C1">
      <w:pPr>
        <w:spacing w:before="240"/>
        <w:jc w:val="center"/>
        <w:rPr>
          <w:rFonts w:asciiTheme="minorHAnsi" w:hAnsiTheme="minorHAnsi"/>
          <w:b/>
          <w:bCs/>
          <w:sz w:val="22"/>
          <w:szCs w:val="22"/>
        </w:rPr>
      </w:pPr>
      <w:r w:rsidRPr="006325C1">
        <w:rPr>
          <w:rFonts w:asciiTheme="minorHAnsi" w:hAnsiTheme="minorHAnsi"/>
          <w:b/>
          <w:bCs/>
          <w:sz w:val="22"/>
          <w:szCs w:val="22"/>
        </w:rPr>
        <w:t>Landholder submission rejecting prescribed wetlands</w:t>
      </w:r>
    </w:p>
    <w:p w14:paraId="08253FB1" w14:textId="3BE40623" w:rsidR="006325C1" w:rsidRDefault="006325C1" w:rsidP="004103B0">
      <w:pPr>
        <w:jc w:val="both"/>
        <w:rPr>
          <w:rFonts w:asciiTheme="minorHAnsi" w:hAnsiTheme="minorHAnsi"/>
          <w:sz w:val="22"/>
          <w:szCs w:val="22"/>
        </w:rPr>
      </w:pPr>
      <w:r w:rsidRPr="006325C1">
        <w:rPr>
          <w:rFonts w:asciiTheme="minorHAnsi" w:hAnsiTheme="minorHAnsi"/>
          <w:sz w:val="22"/>
          <w:szCs w:val="22"/>
        </w:rPr>
        <w:t xml:space="preserve">As a landholder in the Gwydir Valley, we have prepared this submission in response to the Draft Water Sharing Plan for the Gwydir Unregulated Water Sources 2025.  </w:t>
      </w:r>
    </w:p>
    <w:p w14:paraId="69948558" w14:textId="20FA46FB" w:rsidR="006325C1" w:rsidRDefault="006325C1" w:rsidP="004103B0">
      <w:pPr>
        <w:jc w:val="both"/>
        <w:rPr>
          <w:rFonts w:asciiTheme="minorHAnsi" w:hAnsiTheme="minorHAnsi"/>
          <w:sz w:val="22"/>
          <w:szCs w:val="22"/>
        </w:rPr>
      </w:pPr>
      <w:r>
        <w:rPr>
          <w:rFonts w:asciiTheme="minorHAnsi" w:hAnsiTheme="minorHAnsi"/>
          <w:sz w:val="22"/>
          <w:szCs w:val="22"/>
        </w:rPr>
        <w:t xml:space="preserve">We do not accept any of the newly identified 327 wetlands included in the draft plan, and do not believe that it appropriate to include </w:t>
      </w:r>
      <w:r w:rsidR="00141974">
        <w:rPr>
          <w:rFonts w:asciiTheme="minorHAnsi" w:hAnsiTheme="minorHAnsi"/>
          <w:sz w:val="22"/>
          <w:szCs w:val="22"/>
        </w:rPr>
        <w:t xml:space="preserve">any additional wetlands into the Water Sharing Plan for the Gwydir Unregulated River Sources. </w:t>
      </w:r>
      <w:r>
        <w:rPr>
          <w:rFonts w:asciiTheme="minorHAnsi" w:hAnsiTheme="minorHAnsi"/>
          <w:sz w:val="22"/>
          <w:szCs w:val="22"/>
        </w:rPr>
        <w:t xml:space="preserve"> </w:t>
      </w:r>
    </w:p>
    <w:p w14:paraId="16EF9573" w14:textId="0D67B0DD" w:rsidR="00EC0731" w:rsidRPr="00EC0731" w:rsidRDefault="00EC0731" w:rsidP="004103B0">
      <w:pPr>
        <w:jc w:val="both"/>
        <w:rPr>
          <w:rFonts w:asciiTheme="minorHAnsi" w:hAnsiTheme="minorHAnsi"/>
          <w:b/>
          <w:bCs/>
          <w:sz w:val="22"/>
          <w:szCs w:val="22"/>
        </w:rPr>
      </w:pPr>
      <w:r w:rsidRPr="00EC0731">
        <w:rPr>
          <w:rFonts w:asciiTheme="minorHAnsi" w:hAnsiTheme="minorHAnsi"/>
          <w:b/>
          <w:bCs/>
          <w:sz w:val="22"/>
          <w:szCs w:val="22"/>
        </w:rPr>
        <w:t>Recommendation</w:t>
      </w:r>
    </w:p>
    <w:p w14:paraId="29931A02" w14:textId="0D5C13D1" w:rsidR="00EC0731" w:rsidRPr="00EC0731" w:rsidRDefault="00EC0731" w:rsidP="004103B0">
      <w:pPr>
        <w:jc w:val="both"/>
        <w:rPr>
          <w:rFonts w:asciiTheme="minorHAnsi" w:hAnsiTheme="minorHAnsi"/>
          <w:b/>
          <w:bCs/>
          <w:sz w:val="22"/>
          <w:szCs w:val="22"/>
        </w:rPr>
      </w:pPr>
      <w:r w:rsidRPr="00EC0731">
        <w:rPr>
          <w:rFonts w:asciiTheme="minorHAnsi" w:hAnsiTheme="minorHAnsi"/>
          <w:b/>
          <w:bCs/>
          <w:sz w:val="22"/>
          <w:szCs w:val="22"/>
        </w:rPr>
        <w:t xml:space="preserve">We request that wetland identification not be included as a component of any Water Sharing Plan regulated or unregulated now or at any time into the future. </w:t>
      </w:r>
    </w:p>
    <w:p w14:paraId="0BDA931C" w14:textId="2C058F9B" w:rsidR="00141974" w:rsidRDefault="00141974" w:rsidP="004103B0">
      <w:pPr>
        <w:jc w:val="both"/>
        <w:rPr>
          <w:rFonts w:asciiTheme="minorHAnsi" w:hAnsiTheme="minorHAnsi"/>
          <w:sz w:val="22"/>
          <w:szCs w:val="22"/>
        </w:rPr>
      </w:pPr>
      <w:r>
        <w:rPr>
          <w:rFonts w:asciiTheme="minorHAnsi" w:hAnsiTheme="minorHAnsi"/>
          <w:sz w:val="22"/>
          <w:szCs w:val="22"/>
        </w:rPr>
        <w:t xml:space="preserve">We cannot support the </w:t>
      </w:r>
      <w:r w:rsidR="00EC0731">
        <w:rPr>
          <w:rFonts w:asciiTheme="minorHAnsi" w:hAnsiTheme="minorHAnsi"/>
          <w:sz w:val="22"/>
          <w:szCs w:val="22"/>
        </w:rPr>
        <w:t xml:space="preserve">methodology used for the </w:t>
      </w:r>
      <w:r>
        <w:rPr>
          <w:rFonts w:asciiTheme="minorHAnsi" w:hAnsiTheme="minorHAnsi"/>
          <w:sz w:val="22"/>
          <w:szCs w:val="22"/>
        </w:rPr>
        <w:t xml:space="preserve">identification of a wetland when the process has been derived from a desk top study and has not been supported </w:t>
      </w:r>
      <w:r w:rsidR="00EC0731">
        <w:rPr>
          <w:rFonts w:asciiTheme="minorHAnsi" w:hAnsiTheme="minorHAnsi"/>
          <w:sz w:val="22"/>
          <w:szCs w:val="22"/>
        </w:rPr>
        <w:t xml:space="preserve">through any consultation with landholders, and </w:t>
      </w:r>
      <w:r w:rsidR="007F5245">
        <w:rPr>
          <w:rFonts w:asciiTheme="minorHAnsi" w:hAnsiTheme="minorHAnsi"/>
          <w:sz w:val="22"/>
          <w:szCs w:val="22"/>
        </w:rPr>
        <w:t xml:space="preserve">where </w:t>
      </w:r>
      <w:r w:rsidR="00ED201A">
        <w:rPr>
          <w:rFonts w:asciiTheme="minorHAnsi" w:hAnsiTheme="minorHAnsi"/>
          <w:sz w:val="22"/>
          <w:szCs w:val="22"/>
        </w:rPr>
        <w:t xml:space="preserve">there has been </w:t>
      </w:r>
      <w:r w:rsidR="00EC0731">
        <w:rPr>
          <w:rFonts w:asciiTheme="minorHAnsi" w:hAnsiTheme="minorHAnsi"/>
          <w:sz w:val="22"/>
          <w:szCs w:val="22"/>
        </w:rPr>
        <w:t xml:space="preserve">no ground truthing. </w:t>
      </w:r>
    </w:p>
    <w:p w14:paraId="32D51954" w14:textId="0F589DAA" w:rsidR="007F5245" w:rsidRDefault="007F5245" w:rsidP="004103B0">
      <w:pPr>
        <w:jc w:val="both"/>
        <w:rPr>
          <w:rFonts w:asciiTheme="minorHAnsi" w:hAnsiTheme="minorHAnsi"/>
          <w:sz w:val="22"/>
          <w:szCs w:val="22"/>
        </w:rPr>
      </w:pPr>
      <w:r>
        <w:rPr>
          <w:rFonts w:asciiTheme="minorHAnsi" w:hAnsiTheme="minorHAnsi"/>
          <w:sz w:val="22"/>
          <w:szCs w:val="22"/>
        </w:rPr>
        <w:t xml:space="preserve">Although we do not support the creation of wetlands on private land, if the government wishes to identify any new wetlands as a stand alone process, unrelated to any Water Sharing Plan, the process must include individual consultation will all landholders likely to be impacted by the identification of a wetland, this includes all neighbouring landholders. In addition, there must be appropriate ground truthing to justify the wetland classification. </w:t>
      </w:r>
    </w:p>
    <w:p w14:paraId="03026C6F" w14:textId="282540B6" w:rsidR="00EC0731" w:rsidRDefault="00EC0731" w:rsidP="004103B0">
      <w:pPr>
        <w:jc w:val="both"/>
        <w:rPr>
          <w:rFonts w:asciiTheme="minorHAnsi" w:hAnsiTheme="minorHAnsi"/>
          <w:sz w:val="22"/>
          <w:szCs w:val="22"/>
        </w:rPr>
      </w:pPr>
      <w:r>
        <w:rPr>
          <w:rFonts w:asciiTheme="minorHAnsi" w:hAnsiTheme="minorHAnsi"/>
          <w:sz w:val="22"/>
          <w:szCs w:val="22"/>
        </w:rPr>
        <w:t>We are not confident that the only restrictions to prescribed wetlands would be that there would be no new works or trades allowed.</w:t>
      </w:r>
      <w:r w:rsidR="001403AA">
        <w:rPr>
          <w:rFonts w:asciiTheme="minorHAnsi" w:hAnsiTheme="minorHAnsi"/>
          <w:sz w:val="22"/>
          <w:szCs w:val="22"/>
        </w:rPr>
        <w:t xml:space="preserve"> Before we can accept this statement</w:t>
      </w:r>
      <w:r w:rsidR="007F5245">
        <w:rPr>
          <w:rFonts w:asciiTheme="minorHAnsi" w:hAnsiTheme="minorHAnsi"/>
          <w:sz w:val="22"/>
          <w:szCs w:val="22"/>
        </w:rPr>
        <w:t>,</w:t>
      </w:r>
      <w:r w:rsidR="001403AA">
        <w:rPr>
          <w:rFonts w:asciiTheme="minorHAnsi" w:hAnsiTheme="minorHAnsi"/>
          <w:sz w:val="22"/>
          <w:szCs w:val="22"/>
        </w:rPr>
        <w:t xml:space="preserve"> we would need evidence to support this position.</w:t>
      </w:r>
      <w:r w:rsidR="007F5245">
        <w:rPr>
          <w:rFonts w:asciiTheme="minorHAnsi" w:hAnsiTheme="minorHAnsi"/>
          <w:sz w:val="22"/>
          <w:szCs w:val="22"/>
        </w:rPr>
        <w:t xml:space="preserve"> Any decision that impacts what we do on our landholding has the potential to cause significant economic impact to our business and if pursued would need to be compensated. </w:t>
      </w:r>
    </w:p>
    <w:p w14:paraId="5AA6F21B" w14:textId="3BB5D90A" w:rsidR="00141974" w:rsidRDefault="00141974" w:rsidP="004103B0">
      <w:pPr>
        <w:jc w:val="both"/>
        <w:rPr>
          <w:rFonts w:asciiTheme="minorHAnsi" w:hAnsiTheme="minorHAnsi"/>
          <w:sz w:val="22"/>
          <w:szCs w:val="22"/>
        </w:rPr>
      </w:pPr>
      <w:r>
        <w:rPr>
          <w:rFonts w:asciiTheme="minorHAnsi" w:hAnsiTheme="minorHAnsi"/>
          <w:sz w:val="22"/>
          <w:szCs w:val="22"/>
        </w:rPr>
        <w:t xml:space="preserve">The Draft Gwydir Unregulated Water Sharing Plan prescribed wetland map includes the following site which is not a wetland. </w:t>
      </w:r>
    </w:p>
    <w:p w14:paraId="297705E7" w14:textId="77777777" w:rsidR="00141974" w:rsidRDefault="00141974">
      <w:pPr>
        <w:rPr>
          <w:rFonts w:asciiTheme="minorHAnsi" w:hAnsiTheme="minorHAnsi"/>
          <w:sz w:val="22"/>
          <w:szCs w:val="22"/>
        </w:rPr>
      </w:pPr>
    </w:p>
    <w:tbl>
      <w:tblPr>
        <w:tblStyle w:val="TableGrid"/>
        <w:tblW w:w="9776" w:type="dxa"/>
        <w:tblLook w:val="04A0" w:firstRow="1" w:lastRow="0" w:firstColumn="1" w:lastColumn="0" w:noHBand="0" w:noVBand="1"/>
      </w:tblPr>
      <w:tblGrid>
        <w:gridCol w:w="1129"/>
        <w:gridCol w:w="1985"/>
        <w:gridCol w:w="6662"/>
      </w:tblGrid>
      <w:tr w:rsidR="00141974" w:rsidRPr="004103B0" w14:paraId="1B769302" w14:textId="77777777" w:rsidTr="004103B0">
        <w:tc>
          <w:tcPr>
            <w:tcW w:w="1129" w:type="dxa"/>
          </w:tcPr>
          <w:p w14:paraId="4F26199F" w14:textId="653C4408" w:rsidR="00141974" w:rsidRPr="004103B0" w:rsidRDefault="00141974">
            <w:pPr>
              <w:rPr>
                <w:rFonts w:asciiTheme="minorHAnsi" w:hAnsiTheme="minorHAnsi"/>
                <w:b/>
                <w:bCs/>
                <w:sz w:val="22"/>
                <w:szCs w:val="22"/>
              </w:rPr>
            </w:pPr>
            <w:proofErr w:type="spellStart"/>
            <w:r w:rsidRPr="004103B0">
              <w:rPr>
                <w:rFonts w:asciiTheme="minorHAnsi" w:hAnsiTheme="minorHAnsi"/>
                <w:b/>
                <w:bCs/>
                <w:sz w:val="22"/>
                <w:szCs w:val="22"/>
              </w:rPr>
              <w:t>ObjectID</w:t>
            </w:r>
            <w:proofErr w:type="spellEnd"/>
            <w:r w:rsidRPr="004103B0">
              <w:rPr>
                <w:rFonts w:asciiTheme="minorHAnsi" w:hAnsiTheme="minorHAnsi"/>
                <w:b/>
                <w:bCs/>
                <w:sz w:val="22"/>
                <w:szCs w:val="22"/>
              </w:rPr>
              <w:t xml:space="preserve"> </w:t>
            </w:r>
          </w:p>
        </w:tc>
        <w:tc>
          <w:tcPr>
            <w:tcW w:w="1985" w:type="dxa"/>
          </w:tcPr>
          <w:p w14:paraId="03B1D82F" w14:textId="74C03963" w:rsidR="00141974" w:rsidRPr="004103B0" w:rsidRDefault="00141974">
            <w:pPr>
              <w:rPr>
                <w:rFonts w:asciiTheme="minorHAnsi" w:hAnsiTheme="minorHAnsi"/>
                <w:b/>
                <w:bCs/>
                <w:sz w:val="22"/>
                <w:szCs w:val="22"/>
              </w:rPr>
            </w:pPr>
            <w:r w:rsidRPr="004103B0">
              <w:rPr>
                <w:rFonts w:asciiTheme="minorHAnsi" w:hAnsiTheme="minorHAnsi"/>
                <w:b/>
                <w:bCs/>
                <w:sz w:val="22"/>
                <w:szCs w:val="22"/>
              </w:rPr>
              <w:t>Lot/DP number</w:t>
            </w:r>
          </w:p>
        </w:tc>
        <w:tc>
          <w:tcPr>
            <w:tcW w:w="6662" w:type="dxa"/>
          </w:tcPr>
          <w:p w14:paraId="58BF3A5F" w14:textId="6623108E" w:rsidR="00141974" w:rsidRPr="004103B0" w:rsidRDefault="00141974">
            <w:pPr>
              <w:rPr>
                <w:rFonts w:asciiTheme="minorHAnsi" w:hAnsiTheme="minorHAnsi"/>
                <w:b/>
                <w:bCs/>
                <w:sz w:val="22"/>
                <w:szCs w:val="22"/>
              </w:rPr>
            </w:pPr>
            <w:r w:rsidRPr="004103B0">
              <w:rPr>
                <w:rFonts w:asciiTheme="minorHAnsi" w:hAnsiTheme="minorHAnsi"/>
                <w:b/>
                <w:bCs/>
                <w:sz w:val="22"/>
                <w:szCs w:val="22"/>
              </w:rPr>
              <w:t>Explanation as to why it is not a wetland site</w:t>
            </w:r>
          </w:p>
        </w:tc>
      </w:tr>
      <w:tr w:rsidR="00141974" w14:paraId="73149D0C" w14:textId="77777777" w:rsidTr="004103B0">
        <w:tc>
          <w:tcPr>
            <w:tcW w:w="1129" w:type="dxa"/>
          </w:tcPr>
          <w:p w14:paraId="2EF26EB2" w14:textId="27F665A6" w:rsidR="00141974" w:rsidRDefault="004103B0">
            <w:pPr>
              <w:rPr>
                <w:rFonts w:asciiTheme="minorHAnsi" w:hAnsiTheme="minorHAnsi"/>
                <w:sz w:val="22"/>
                <w:szCs w:val="22"/>
              </w:rPr>
            </w:pPr>
            <w:r w:rsidRPr="00FD286B">
              <w:rPr>
                <w:rFonts w:asciiTheme="minorHAnsi" w:hAnsiTheme="minorHAnsi"/>
                <w:sz w:val="22"/>
                <w:szCs w:val="22"/>
                <w:highlight w:val="yellow"/>
              </w:rPr>
              <w:t>2941</w:t>
            </w:r>
          </w:p>
        </w:tc>
        <w:tc>
          <w:tcPr>
            <w:tcW w:w="1985" w:type="dxa"/>
          </w:tcPr>
          <w:p w14:paraId="258D7AA2" w14:textId="025EFBBD" w:rsidR="00141974" w:rsidRDefault="004103B0">
            <w:pPr>
              <w:rPr>
                <w:rFonts w:asciiTheme="minorHAnsi" w:hAnsiTheme="minorHAnsi"/>
                <w:sz w:val="22"/>
                <w:szCs w:val="22"/>
              </w:rPr>
            </w:pPr>
            <w:r w:rsidRPr="00FD286B">
              <w:rPr>
                <w:rFonts w:asciiTheme="minorHAnsi" w:hAnsiTheme="minorHAnsi"/>
                <w:sz w:val="22"/>
                <w:szCs w:val="22"/>
                <w:highlight w:val="yellow"/>
              </w:rPr>
              <w:t>Lot 2 DP1213585</w:t>
            </w:r>
          </w:p>
        </w:tc>
        <w:tc>
          <w:tcPr>
            <w:tcW w:w="6662" w:type="dxa"/>
          </w:tcPr>
          <w:p w14:paraId="255FFC89" w14:textId="77777777" w:rsidR="00141974" w:rsidRPr="00FD286B" w:rsidRDefault="004103B0">
            <w:pPr>
              <w:rPr>
                <w:rFonts w:asciiTheme="minorHAnsi" w:hAnsiTheme="minorHAnsi"/>
                <w:sz w:val="22"/>
                <w:szCs w:val="22"/>
                <w:highlight w:val="yellow"/>
              </w:rPr>
            </w:pPr>
            <w:r w:rsidRPr="00FD286B">
              <w:rPr>
                <w:rFonts w:asciiTheme="minorHAnsi" w:hAnsiTheme="minorHAnsi"/>
                <w:sz w:val="22"/>
                <w:szCs w:val="22"/>
                <w:highlight w:val="yellow"/>
              </w:rPr>
              <w:t>This section is a regulated river system which we access regulated water from Copeton Dam and have done here since before the dam’s construction. This section is an anabranch which is known as Cowell Lagoon and is a part of the Gwydir River.</w:t>
            </w:r>
          </w:p>
          <w:p w14:paraId="3FA655C5" w14:textId="00A986E5" w:rsidR="004103B0" w:rsidRDefault="004103B0">
            <w:pPr>
              <w:rPr>
                <w:rFonts w:asciiTheme="minorHAnsi" w:hAnsiTheme="minorHAnsi"/>
                <w:sz w:val="22"/>
                <w:szCs w:val="22"/>
              </w:rPr>
            </w:pPr>
            <w:r w:rsidRPr="00FD286B">
              <w:rPr>
                <w:rFonts w:asciiTheme="minorHAnsi" w:hAnsiTheme="minorHAnsi"/>
                <w:sz w:val="22"/>
                <w:szCs w:val="22"/>
                <w:highlight w:val="yellow"/>
              </w:rPr>
              <w:t>Any restrictions for new works or trades would be costly to our business and cannot be supported.</w:t>
            </w:r>
            <w:r>
              <w:rPr>
                <w:rFonts w:asciiTheme="minorHAnsi" w:hAnsiTheme="minorHAnsi"/>
                <w:sz w:val="22"/>
                <w:szCs w:val="22"/>
              </w:rPr>
              <w:t xml:space="preserve"> </w:t>
            </w:r>
          </w:p>
        </w:tc>
      </w:tr>
      <w:tr w:rsidR="00141974" w14:paraId="6C0D0A11" w14:textId="77777777" w:rsidTr="004103B0">
        <w:tc>
          <w:tcPr>
            <w:tcW w:w="1129" w:type="dxa"/>
          </w:tcPr>
          <w:p w14:paraId="78D9D2DC" w14:textId="77777777" w:rsidR="00141974" w:rsidRDefault="00141974">
            <w:pPr>
              <w:rPr>
                <w:rFonts w:asciiTheme="minorHAnsi" w:hAnsiTheme="minorHAnsi"/>
                <w:sz w:val="22"/>
                <w:szCs w:val="22"/>
              </w:rPr>
            </w:pPr>
          </w:p>
        </w:tc>
        <w:tc>
          <w:tcPr>
            <w:tcW w:w="1985" w:type="dxa"/>
          </w:tcPr>
          <w:p w14:paraId="577B4BB7" w14:textId="77777777" w:rsidR="00141974" w:rsidRDefault="00141974">
            <w:pPr>
              <w:rPr>
                <w:rFonts w:asciiTheme="minorHAnsi" w:hAnsiTheme="minorHAnsi"/>
                <w:sz w:val="22"/>
                <w:szCs w:val="22"/>
              </w:rPr>
            </w:pPr>
          </w:p>
        </w:tc>
        <w:tc>
          <w:tcPr>
            <w:tcW w:w="6662" w:type="dxa"/>
          </w:tcPr>
          <w:p w14:paraId="301486D2" w14:textId="77777777" w:rsidR="00141974" w:rsidRDefault="00141974">
            <w:pPr>
              <w:rPr>
                <w:rFonts w:asciiTheme="minorHAnsi" w:hAnsiTheme="minorHAnsi"/>
                <w:sz w:val="22"/>
                <w:szCs w:val="22"/>
              </w:rPr>
            </w:pPr>
          </w:p>
        </w:tc>
      </w:tr>
      <w:tr w:rsidR="00141974" w14:paraId="48FCED98" w14:textId="77777777" w:rsidTr="004103B0">
        <w:tc>
          <w:tcPr>
            <w:tcW w:w="1129" w:type="dxa"/>
          </w:tcPr>
          <w:p w14:paraId="4B482A42" w14:textId="77777777" w:rsidR="00141974" w:rsidRDefault="00141974">
            <w:pPr>
              <w:rPr>
                <w:rFonts w:asciiTheme="minorHAnsi" w:hAnsiTheme="minorHAnsi"/>
                <w:sz w:val="22"/>
                <w:szCs w:val="22"/>
              </w:rPr>
            </w:pPr>
          </w:p>
        </w:tc>
        <w:tc>
          <w:tcPr>
            <w:tcW w:w="1985" w:type="dxa"/>
          </w:tcPr>
          <w:p w14:paraId="2A89F806" w14:textId="77777777" w:rsidR="00141974" w:rsidRDefault="00141974">
            <w:pPr>
              <w:rPr>
                <w:rFonts w:asciiTheme="minorHAnsi" w:hAnsiTheme="minorHAnsi"/>
                <w:sz w:val="22"/>
                <w:szCs w:val="22"/>
              </w:rPr>
            </w:pPr>
          </w:p>
        </w:tc>
        <w:tc>
          <w:tcPr>
            <w:tcW w:w="6662" w:type="dxa"/>
          </w:tcPr>
          <w:p w14:paraId="09FCD40D" w14:textId="77777777" w:rsidR="00141974" w:rsidRDefault="00141974">
            <w:pPr>
              <w:rPr>
                <w:rFonts w:asciiTheme="minorHAnsi" w:hAnsiTheme="minorHAnsi"/>
                <w:sz w:val="22"/>
                <w:szCs w:val="22"/>
              </w:rPr>
            </w:pPr>
          </w:p>
        </w:tc>
      </w:tr>
    </w:tbl>
    <w:p w14:paraId="0DFD7833" w14:textId="0FB249C3" w:rsidR="00141974" w:rsidRDefault="004103B0" w:rsidP="007F5245">
      <w:pPr>
        <w:rPr>
          <w:rFonts w:asciiTheme="minorHAnsi" w:hAnsiTheme="minorHAnsi"/>
          <w:sz w:val="22"/>
          <w:szCs w:val="22"/>
        </w:rPr>
      </w:pPr>
      <w:r>
        <w:rPr>
          <w:rFonts w:asciiTheme="minorHAnsi" w:hAnsiTheme="minorHAnsi"/>
          <w:sz w:val="22"/>
          <w:szCs w:val="22"/>
        </w:rPr>
        <w:t>Sincerely,</w:t>
      </w:r>
    </w:p>
    <w:p w14:paraId="1B19AF2A" w14:textId="77777777" w:rsidR="004103B0" w:rsidRDefault="004103B0" w:rsidP="007F5245">
      <w:pPr>
        <w:rPr>
          <w:rFonts w:asciiTheme="minorHAnsi" w:hAnsiTheme="minorHAnsi"/>
          <w:sz w:val="22"/>
          <w:szCs w:val="22"/>
        </w:rPr>
      </w:pPr>
    </w:p>
    <w:p w14:paraId="103215B5" w14:textId="434ED977" w:rsidR="004103B0" w:rsidRPr="006325C1" w:rsidRDefault="004103B0" w:rsidP="007F5245">
      <w:pPr>
        <w:rPr>
          <w:rFonts w:asciiTheme="minorHAnsi" w:hAnsiTheme="minorHAnsi"/>
          <w:sz w:val="22"/>
          <w:szCs w:val="22"/>
        </w:rPr>
      </w:pPr>
      <w:r w:rsidRPr="00FD286B">
        <w:rPr>
          <w:rFonts w:asciiTheme="minorHAnsi" w:hAnsiTheme="minorHAnsi"/>
          <w:sz w:val="22"/>
          <w:szCs w:val="22"/>
          <w:highlight w:val="yellow"/>
        </w:rPr>
        <w:t>Address:</w:t>
      </w:r>
    </w:p>
    <w:sectPr w:rsidR="004103B0" w:rsidRPr="006325C1" w:rsidSect="004103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C1"/>
    <w:rsid w:val="001403AA"/>
    <w:rsid w:val="00141974"/>
    <w:rsid w:val="00167A1C"/>
    <w:rsid w:val="002D5CA9"/>
    <w:rsid w:val="004103B0"/>
    <w:rsid w:val="006325C1"/>
    <w:rsid w:val="00716BD2"/>
    <w:rsid w:val="00775DD9"/>
    <w:rsid w:val="007F5245"/>
    <w:rsid w:val="00815BF5"/>
    <w:rsid w:val="008A1A84"/>
    <w:rsid w:val="00963FC9"/>
    <w:rsid w:val="0098453F"/>
    <w:rsid w:val="009A31A4"/>
    <w:rsid w:val="00A3591F"/>
    <w:rsid w:val="00A77B00"/>
    <w:rsid w:val="00BD3223"/>
    <w:rsid w:val="00D57DE5"/>
    <w:rsid w:val="00E13D8C"/>
    <w:rsid w:val="00E51DBB"/>
    <w:rsid w:val="00EC0731"/>
    <w:rsid w:val="00ED201A"/>
    <w:rsid w:val="00F72F85"/>
    <w:rsid w:val="00FD2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5A55"/>
  <w15:chartTrackingRefBased/>
  <w15:docId w15:val="{3FA718BA-F7A2-4693-BFCD-1045B52A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BB"/>
    <w:pPr>
      <w:spacing w:before="120" w:after="0" w:line="240" w:lineRule="auto"/>
    </w:pPr>
    <w:rPr>
      <w:rFonts w:asciiTheme="majorHAnsi" w:hAnsiTheme="majorHAnsi" w:cs="Times New Roman"/>
      <w:kern w:val="0"/>
      <w:sz w:val="24"/>
      <w:szCs w:val="24"/>
      <w14:ligatures w14:val="none"/>
    </w:rPr>
  </w:style>
  <w:style w:type="paragraph" w:styleId="Heading1">
    <w:name w:val="heading 1"/>
    <w:basedOn w:val="Normal"/>
    <w:next w:val="Normal"/>
    <w:link w:val="Heading1Char"/>
    <w:uiPriority w:val="9"/>
    <w:qFormat/>
    <w:rsid w:val="006325C1"/>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5C1"/>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5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5BF5"/>
    <w:pPr>
      <w:keepNext/>
      <w:keepLines/>
      <w:spacing w:before="280" w:after="2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5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25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25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25C1"/>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25C1"/>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5BF5"/>
    <w:rPr>
      <w:rFonts w:asciiTheme="majorHAnsi" w:eastAsiaTheme="majorEastAsia" w:hAnsiTheme="majorHAnsi" w:cstheme="majorBidi"/>
      <w:i/>
      <w:iCs/>
      <w:color w:val="0F4761" w:themeColor="accent1" w:themeShade="BF"/>
      <w:sz w:val="24"/>
      <w:szCs w:val="24"/>
    </w:rPr>
  </w:style>
  <w:style w:type="character" w:customStyle="1" w:styleId="Heading1Char">
    <w:name w:val="Heading 1 Char"/>
    <w:basedOn w:val="DefaultParagraphFont"/>
    <w:link w:val="Heading1"/>
    <w:uiPriority w:val="9"/>
    <w:rsid w:val="006325C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325C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325C1"/>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6325C1"/>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6325C1"/>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6325C1"/>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6325C1"/>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6325C1"/>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6325C1"/>
    <w:pPr>
      <w:spacing w:before="0"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5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325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5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2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25C1"/>
    <w:rPr>
      <w:rFonts w:asciiTheme="majorHAnsi" w:hAnsiTheme="majorHAnsi" w:cs="Times New Roman"/>
      <w:i/>
      <w:iCs/>
      <w:color w:val="404040" w:themeColor="text1" w:themeTint="BF"/>
      <w:kern w:val="0"/>
      <w:sz w:val="24"/>
      <w:szCs w:val="24"/>
      <w14:ligatures w14:val="none"/>
    </w:rPr>
  </w:style>
  <w:style w:type="paragraph" w:styleId="ListParagraph">
    <w:name w:val="List Paragraph"/>
    <w:basedOn w:val="Normal"/>
    <w:uiPriority w:val="34"/>
    <w:qFormat/>
    <w:rsid w:val="006325C1"/>
    <w:pPr>
      <w:ind w:left="720"/>
      <w:contextualSpacing/>
    </w:pPr>
  </w:style>
  <w:style w:type="character" w:styleId="IntenseEmphasis">
    <w:name w:val="Intense Emphasis"/>
    <w:basedOn w:val="DefaultParagraphFont"/>
    <w:uiPriority w:val="21"/>
    <w:qFormat/>
    <w:rsid w:val="006325C1"/>
    <w:rPr>
      <w:i/>
      <w:iCs/>
      <w:color w:val="0F4761" w:themeColor="accent1" w:themeShade="BF"/>
    </w:rPr>
  </w:style>
  <w:style w:type="paragraph" w:styleId="IntenseQuote">
    <w:name w:val="Intense Quote"/>
    <w:basedOn w:val="Normal"/>
    <w:next w:val="Normal"/>
    <w:link w:val="IntenseQuoteChar"/>
    <w:uiPriority w:val="30"/>
    <w:qFormat/>
    <w:rsid w:val="00632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5C1"/>
    <w:rPr>
      <w:rFonts w:asciiTheme="majorHAnsi" w:hAnsiTheme="majorHAnsi" w:cs="Times New Roman"/>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6325C1"/>
    <w:rPr>
      <w:b/>
      <w:bCs/>
      <w:smallCaps/>
      <w:color w:val="0F4761" w:themeColor="accent1" w:themeShade="BF"/>
      <w:spacing w:val="5"/>
    </w:rPr>
  </w:style>
  <w:style w:type="paragraph" w:customStyle="1" w:styleId="ContactInfo">
    <w:name w:val="Contact Info"/>
    <w:basedOn w:val="Normal"/>
    <w:uiPriority w:val="2"/>
    <w:rsid w:val="006325C1"/>
    <w:pPr>
      <w:spacing w:before="0" w:line="264" w:lineRule="auto"/>
      <w:contextualSpacing/>
    </w:pPr>
    <w:rPr>
      <w:rFonts w:asciiTheme="minorHAnsi" w:eastAsiaTheme="minorEastAsia" w:hAnsiTheme="minorHAnsi" w:cstheme="minorBidi"/>
      <w:color w:val="0F9ED5" w:themeColor="accent4"/>
      <w:sz w:val="20"/>
      <w:szCs w:val="20"/>
      <w:lang w:val="en-US"/>
    </w:rPr>
  </w:style>
  <w:style w:type="character" w:styleId="Hyperlink">
    <w:name w:val="Hyperlink"/>
    <w:basedOn w:val="DefaultParagraphFont"/>
    <w:uiPriority w:val="99"/>
    <w:unhideWhenUsed/>
    <w:rsid w:val="006325C1"/>
    <w:rPr>
      <w:color w:val="467886" w:themeColor="hyperlink"/>
      <w:u w:val="single"/>
    </w:rPr>
  </w:style>
  <w:style w:type="character" w:styleId="UnresolvedMention">
    <w:name w:val="Unresolved Mention"/>
    <w:basedOn w:val="DefaultParagraphFont"/>
    <w:uiPriority w:val="99"/>
    <w:semiHidden/>
    <w:unhideWhenUsed/>
    <w:rsid w:val="006325C1"/>
    <w:rPr>
      <w:color w:val="605E5C"/>
      <w:shd w:val="clear" w:color="auto" w:fill="E1DFDD"/>
    </w:rPr>
  </w:style>
  <w:style w:type="table" w:styleId="TableGrid">
    <w:name w:val="Table Grid"/>
    <w:basedOn w:val="TableNormal"/>
    <w:uiPriority w:val="39"/>
    <w:rsid w:val="001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wspconsultation@dpie.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b86559-fdff-4bd2-9f1b-1f475f83f3b0" xsi:nil="true"/>
    <lcf76f155ced4ddcb4097134ff3c332f xmlns="52764c89-e546-4cc1-90d9-468dc21f8d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8D80A49564B44BFBEDA9112A8181A" ma:contentTypeVersion="18" ma:contentTypeDescription="Create a new document." ma:contentTypeScope="" ma:versionID="dfb5390f1a721633729adac9234c4c3e">
  <xsd:schema xmlns:xsd="http://www.w3.org/2001/XMLSchema" xmlns:xs="http://www.w3.org/2001/XMLSchema" xmlns:p="http://schemas.microsoft.com/office/2006/metadata/properties" xmlns:ns2="52764c89-e546-4cc1-90d9-468dc21f8d25" xmlns:ns3="6ab86559-fdff-4bd2-9f1b-1f475f83f3b0" targetNamespace="http://schemas.microsoft.com/office/2006/metadata/properties" ma:root="true" ma:fieldsID="1354724afc0f915c2f54e10a1e2ed61a" ns2:_="" ns3:_="">
    <xsd:import namespace="52764c89-e546-4cc1-90d9-468dc21f8d25"/>
    <xsd:import namespace="6ab86559-fdff-4bd2-9f1b-1f475f83f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64c89-e546-4cc1-90d9-468dc21f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e37b0-71a0-46df-a23d-5fa1668bb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86559-fdff-4bd2-9f1b-1f475f83f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727a4e-e8da-41c3-a1c5-1ba65c1c0513}" ma:internalName="TaxCatchAll" ma:showField="CatchAllData" ma:web="6ab86559-fdff-4bd2-9f1b-1f475f83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BEB07-12C8-49F2-A55A-A8580624CC6A}">
  <ds:schemaRefs>
    <ds:schemaRef ds:uri="http://schemas.microsoft.com/office/2006/metadata/properties"/>
    <ds:schemaRef ds:uri="http://schemas.microsoft.com/office/infopath/2007/PartnerControls"/>
    <ds:schemaRef ds:uri="6ab86559-fdff-4bd2-9f1b-1f475f83f3b0"/>
    <ds:schemaRef ds:uri="52764c89-e546-4cc1-90d9-468dc21f8d25"/>
  </ds:schemaRefs>
</ds:datastoreItem>
</file>

<file path=customXml/itemProps2.xml><?xml version="1.0" encoding="utf-8"?>
<ds:datastoreItem xmlns:ds="http://schemas.openxmlformats.org/officeDocument/2006/customXml" ds:itemID="{919F5CCF-E5FC-4518-9AAD-D122749E6CBB}">
  <ds:schemaRefs>
    <ds:schemaRef ds:uri="http://schemas.microsoft.com/sharepoint/v3/contenttype/forms"/>
  </ds:schemaRefs>
</ds:datastoreItem>
</file>

<file path=customXml/itemProps3.xml><?xml version="1.0" encoding="utf-8"?>
<ds:datastoreItem xmlns:ds="http://schemas.openxmlformats.org/officeDocument/2006/customXml" ds:itemID="{90443D07-01F9-4786-9225-C4ECF856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64c89-e546-4cc1-90d9-468dc21f8d25"/>
    <ds:schemaRef ds:uri="6ab86559-fdff-4bd2-9f1b-1f475f83f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Gall</dc:creator>
  <cp:keywords/>
  <dc:description/>
  <cp:lastModifiedBy>Lou Gall</cp:lastModifiedBy>
  <cp:revision>2</cp:revision>
  <dcterms:created xsi:type="dcterms:W3CDTF">2024-12-05T00:08:00Z</dcterms:created>
  <dcterms:modified xsi:type="dcterms:W3CDTF">2024-12-07T08:45:00Z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0x0101009388D80A49564B44BFBEDA9112A8181A</vt:lpwstr>
  </property>
</Properties>
</file>